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A5EF" w14:textId="420D845F" w:rsidR="00577A79" w:rsidRDefault="00577A79" w:rsidP="00577A79">
      <w:pPr>
        <w:numPr>
          <w:ilvl w:val="0"/>
          <w:numId w:val="1"/>
        </w:numPr>
        <w:spacing w:after="0" w:line="240" w:lineRule="auto"/>
        <w:ind w:hanging="501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577A79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Η Ευρωπαϊκή Κεντρική Τράπεζα και η Νομισματική Πολιτική στην Ευρωζώνη</w:t>
      </w:r>
    </w:p>
    <w:p w14:paraId="1B9BFA8B" w14:textId="77777777" w:rsidR="00577A79" w:rsidRPr="00577A79" w:rsidRDefault="00577A79" w:rsidP="00577A79">
      <w:pPr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2D19753A" w14:textId="77777777" w:rsidR="00577A79" w:rsidRPr="00577A79" w:rsidRDefault="00577A79" w:rsidP="00577A79">
      <w:pPr>
        <w:numPr>
          <w:ilvl w:val="1"/>
          <w:numId w:val="1"/>
        </w:num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</w:pPr>
      <w:r w:rsidRPr="00577A79">
        <w:rPr>
          <w:rFonts w:ascii="Times New Roman" w:eastAsia="Times New Roman" w:hAnsi="Times New Roman" w:cs="Calibri"/>
          <w:sz w:val="24"/>
          <w:szCs w:val="24"/>
          <w:lang w:val="el-GR" w:eastAsia="el-GR"/>
        </w:rPr>
        <w:t>Ευρωπαϊκή Κεντρική Τράπεζα, 2009</w:t>
      </w:r>
      <w:r w:rsidRPr="00577A79">
        <w:rPr>
          <w:rFonts w:ascii="Times New Roman" w:eastAsia="Times New Roman" w:hAnsi="Times New Roman" w:cs="Calibri"/>
          <w:i/>
          <w:sz w:val="24"/>
          <w:szCs w:val="24"/>
          <w:lang w:val="el-GR" w:eastAsia="el-GR"/>
        </w:rPr>
        <w:t xml:space="preserve">, </w:t>
      </w:r>
      <w:r w:rsidRPr="00577A79">
        <w:rPr>
          <w:rFonts w:ascii="Times New Roman" w:eastAsia="Times New Roman" w:hAnsi="Times New Roman" w:cs="Calibri"/>
          <w:i/>
          <w:sz w:val="24"/>
          <w:szCs w:val="24"/>
          <w:u w:val="single"/>
          <w:lang w:val="el-GR" w:eastAsia="el-GR"/>
        </w:rPr>
        <w:t>Η Ευρωπαϊκή Κεντρική Τράπεζα, το Ευρωσύστημα, το Ευρωπαϊκό Σύστημα Κεντρικών Τραπεζών</w:t>
      </w:r>
      <w:r w:rsidRPr="00577A79">
        <w:rPr>
          <w:rFonts w:ascii="Times New Roman" w:eastAsia="Times New Roman" w:hAnsi="Times New Roman" w:cs="Calibri"/>
          <w:sz w:val="24"/>
          <w:szCs w:val="24"/>
          <w:lang w:val="el-GR" w:eastAsia="el-GR"/>
        </w:rPr>
        <w:t>, Απρίλιος, σελ. 1-34.</w:t>
      </w:r>
    </w:p>
    <w:p w14:paraId="44B2FCC6" w14:textId="77777777" w:rsidR="00577A79" w:rsidRPr="00577A79" w:rsidRDefault="00577A79" w:rsidP="00577A79">
      <w:pPr>
        <w:numPr>
          <w:ilvl w:val="1"/>
          <w:numId w:val="1"/>
        </w:numPr>
        <w:spacing w:after="0" w:line="240" w:lineRule="auto"/>
        <w:ind w:left="1134" w:right="326"/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</w:pPr>
      <w:r w:rsidRPr="00577A79">
        <w:rPr>
          <w:rFonts w:ascii="Times New Roman" w:eastAsia="Times New Roman" w:hAnsi="Times New Roman" w:cs="Calibri"/>
          <w:sz w:val="24"/>
          <w:szCs w:val="24"/>
          <w:lang w:val="el-GR" w:eastAsia="el-GR"/>
        </w:rPr>
        <w:t>Ευρωπαϊκή Κεντρική Τράπεζα, 2012</w:t>
      </w:r>
      <w:r w:rsidRPr="00577A79">
        <w:rPr>
          <w:rFonts w:ascii="Times New Roman" w:eastAsia="Times New Roman" w:hAnsi="Times New Roman" w:cs="Calibri"/>
          <w:i/>
          <w:sz w:val="24"/>
          <w:szCs w:val="24"/>
          <w:lang w:val="el-GR" w:eastAsia="el-GR"/>
        </w:rPr>
        <w:t xml:space="preserve">,  </w:t>
      </w:r>
      <w:r w:rsidRPr="00577A79">
        <w:rPr>
          <w:rFonts w:ascii="Times New Roman" w:eastAsia="Times New Roman" w:hAnsi="Times New Roman" w:cs="Calibri"/>
          <w:i/>
          <w:sz w:val="24"/>
          <w:szCs w:val="24"/>
          <w:u w:val="single"/>
          <w:lang w:val="el-GR" w:eastAsia="el-GR"/>
        </w:rPr>
        <w:t xml:space="preserve">Η εφαρμογή της νομισματικής πολιτικής στη ζώνη του ευρώ:  </w:t>
      </w:r>
      <w:r w:rsidRPr="00577A79">
        <w:rPr>
          <w:rFonts w:ascii="Times New Roman" w:eastAsia="Times New Roman" w:hAnsi="Times New Roman" w:cs="Calibri"/>
          <w:sz w:val="24"/>
          <w:szCs w:val="24"/>
          <w:u w:val="single"/>
          <w:lang w:val="el-GR" w:eastAsia="el-GR"/>
        </w:rPr>
        <w:t>Γενική τεκμηρίωση για τα μέσα και τις διαδικασίες νομισματικής πολιτικής του Ευρωσυστήματος</w:t>
      </w:r>
      <w:r w:rsidRPr="00577A79">
        <w:rPr>
          <w:rFonts w:ascii="Times New Roman" w:eastAsia="Times New Roman" w:hAnsi="Times New Roman" w:cs="Calibri"/>
          <w:sz w:val="24"/>
          <w:szCs w:val="24"/>
          <w:lang w:val="el-GR" w:eastAsia="el-GR"/>
        </w:rPr>
        <w:t>, 1</w:t>
      </w:r>
      <w:r w:rsidRPr="00577A79">
        <w:rPr>
          <w:rFonts w:ascii="Times New Roman" w:eastAsia="Times New Roman" w:hAnsi="Times New Roman" w:cs="Calibri"/>
          <w:sz w:val="24"/>
          <w:szCs w:val="24"/>
          <w:vertAlign w:val="superscript"/>
          <w:lang w:val="el-GR" w:eastAsia="el-GR"/>
        </w:rPr>
        <w:t xml:space="preserve">η </w:t>
      </w:r>
      <w:r w:rsidRPr="00577A79">
        <w:rPr>
          <w:rFonts w:ascii="Times New Roman" w:eastAsia="Times New Roman" w:hAnsi="Times New Roman" w:cs="Calibri"/>
          <w:sz w:val="24"/>
          <w:szCs w:val="24"/>
          <w:lang w:val="el-GR" w:eastAsia="el-GR"/>
        </w:rPr>
        <w:t>Ιανουαρίου, κεφ. 1, σελ.  8-11 &amp; Προσάρτημα 1, σελ. 59-64.</w:t>
      </w:r>
      <w:r w:rsidRPr="00577A79">
        <w:rPr>
          <w:rFonts w:ascii="Calibri" w:eastAsia="Times New Roman" w:hAnsi="Calibri" w:cs="Times New Roman"/>
          <w:bCs/>
          <w:sz w:val="24"/>
          <w:szCs w:val="24"/>
          <w:lang w:val="el-GR" w:eastAsia="el-GR"/>
        </w:rPr>
        <w:t xml:space="preserve"> </w:t>
      </w:r>
    </w:p>
    <w:p w14:paraId="21981571" w14:textId="77777777" w:rsidR="00577A79" w:rsidRPr="00577A79" w:rsidRDefault="00577A79" w:rsidP="00577A79">
      <w:pPr>
        <w:numPr>
          <w:ilvl w:val="1"/>
          <w:numId w:val="1"/>
        </w:numPr>
        <w:spacing w:after="0" w:line="240" w:lineRule="auto"/>
        <w:ind w:left="1134" w:right="326"/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</w:pPr>
      <w:r w:rsidRPr="00577A79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 xml:space="preserve">Τράπεζα της Ελλάδος, </w:t>
      </w:r>
      <w:r w:rsidRPr="00577A79">
        <w:rPr>
          <w:rFonts w:ascii="Times New Roman" w:eastAsia="Times New Roman" w:hAnsi="Times New Roman" w:cs="Calibri"/>
          <w:bCs/>
          <w:i/>
          <w:sz w:val="24"/>
          <w:szCs w:val="24"/>
          <w:u w:val="single"/>
          <w:lang w:val="el-GR" w:eastAsia="el-GR"/>
        </w:rPr>
        <w:t>Έκθεση του Διοικητή για το έτος 2018</w:t>
      </w:r>
      <w:r w:rsidRPr="00577A79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>, «Ευρωσύστημα:  Είκοσι Χρόνια Ενιαίας Νομισματικής Πολιτικής», Πλαίσιο ΙΙΙ.1, σελ. 64-67</w:t>
      </w:r>
    </w:p>
    <w:p w14:paraId="627B5DE6" w14:textId="672216F5" w:rsidR="00577A79" w:rsidRPr="00577A79" w:rsidRDefault="00577A79" w:rsidP="00577A79">
      <w:pPr>
        <w:numPr>
          <w:ilvl w:val="1"/>
          <w:numId w:val="1"/>
        </w:numPr>
        <w:spacing w:after="0" w:line="240" w:lineRule="auto"/>
        <w:ind w:left="1134" w:right="326"/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</w:pPr>
      <w:r w:rsidRPr="00577A79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 xml:space="preserve">Τράπεζα της Ελλάδος, </w:t>
      </w:r>
      <w:r w:rsidRPr="00577A79">
        <w:rPr>
          <w:rFonts w:ascii="Times New Roman" w:eastAsia="Times New Roman" w:hAnsi="Times New Roman" w:cs="Calibri"/>
          <w:bCs/>
          <w:i/>
          <w:iCs/>
          <w:sz w:val="24"/>
          <w:szCs w:val="24"/>
          <w:u w:val="single"/>
          <w:lang w:val="el-GR" w:eastAsia="el-GR"/>
        </w:rPr>
        <w:t xml:space="preserve">Έκθεση </w:t>
      </w:r>
      <w:r w:rsidR="00D84F10">
        <w:rPr>
          <w:rFonts w:ascii="Times New Roman" w:eastAsia="Times New Roman" w:hAnsi="Times New Roman" w:cs="Calibri"/>
          <w:bCs/>
          <w:i/>
          <w:iCs/>
          <w:sz w:val="24"/>
          <w:szCs w:val="24"/>
          <w:u w:val="single"/>
          <w:lang w:val="el-GR" w:eastAsia="el-GR"/>
        </w:rPr>
        <w:t xml:space="preserve">του Διοικητή για το έτος </w:t>
      </w:r>
      <w:r w:rsidRPr="00577A79">
        <w:rPr>
          <w:rFonts w:ascii="Times New Roman" w:eastAsia="Times New Roman" w:hAnsi="Times New Roman" w:cs="Calibri"/>
          <w:bCs/>
          <w:i/>
          <w:iCs/>
          <w:sz w:val="24"/>
          <w:szCs w:val="24"/>
          <w:u w:val="single"/>
          <w:lang w:val="el-GR" w:eastAsia="el-GR"/>
        </w:rPr>
        <w:t>20</w:t>
      </w:r>
      <w:r w:rsidR="005604B9" w:rsidRPr="005604B9">
        <w:rPr>
          <w:rFonts w:ascii="Times New Roman" w:eastAsia="Times New Roman" w:hAnsi="Times New Roman" w:cs="Calibri"/>
          <w:bCs/>
          <w:i/>
          <w:iCs/>
          <w:sz w:val="24"/>
          <w:szCs w:val="24"/>
          <w:u w:val="single"/>
          <w:lang w:val="el-GR" w:eastAsia="el-GR"/>
        </w:rPr>
        <w:t>20</w:t>
      </w:r>
      <w:r w:rsidRPr="00577A79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 xml:space="preserve">, Κεφάλαιο ΙΙΙ, </w:t>
      </w:r>
      <w:r w:rsidR="005604B9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 xml:space="preserve">Πλαίσιο ΙΙΙ.1 </w:t>
      </w:r>
      <w:r w:rsidRPr="00577A79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>«</w:t>
      </w:r>
      <w:r w:rsidR="00304BD6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 xml:space="preserve">Η επανεξέταση της στρατηγικής για τη </w:t>
      </w:r>
      <w:r w:rsidRPr="00577A79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 xml:space="preserve">νομισματική πολιτική στην Ευρωζώνη», σελ. </w:t>
      </w:r>
      <w:r w:rsidR="005604B9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>67</w:t>
      </w:r>
      <w:r w:rsidRPr="00577A79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>-</w:t>
      </w:r>
      <w:r w:rsidR="005604B9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>81</w:t>
      </w:r>
      <w:r w:rsidRPr="00577A79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 xml:space="preserve">, </w:t>
      </w:r>
      <w:r w:rsidR="005604B9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>Απρίλ</w:t>
      </w:r>
      <w:r w:rsidRPr="00577A79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>ιος 20</w:t>
      </w:r>
      <w:r w:rsidR="005604B9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>2</w:t>
      </w:r>
      <w:r w:rsidR="00304BD6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>1</w:t>
      </w:r>
      <w:r w:rsidRPr="00577A79"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  <w:t>.</w:t>
      </w:r>
    </w:p>
    <w:p w14:paraId="31CE3631" w14:textId="67F2B5B9" w:rsidR="00577A79" w:rsidRPr="00577A79" w:rsidRDefault="00304BD6" w:rsidP="00577A79">
      <w:pPr>
        <w:numPr>
          <w:ilvl w:val="1"/>
          <w:numId w:val="1"/>
        </w:numPr>
        <w:spacing w:after="0" w:line="240" w:lineRule="auto"/>
        <w:ind w:left="1134" w:right="326"/>
        <w:rPr>
          <w:rFonts w:ascii="Times New Roman" w:eastAsia="Times New Roman" w:hAnsi="Times New Roman" w:cs="Calibri"/>
          <w:bCs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Calibri"/>
          <w:sz w:val="24"/>
          <w:szCs w:val="24"/>
          <w:lang w:val="el-GR" w:eastAsia="el-GR"/>
        </w:rPr>
        <w:t>Πιθανά ε</w:t>
      </w:r>
      <w:r w:rsidR="00577A79" w:rsidRPr="00577A79">
        <w:rPr>
          <w:rFonts w:ascii="Times New Roman" w:eastAsia="Times New Roman" w:hAnsi="Times New Roman" w:cs="Calibri"/>
          <w:sz w:val="24"/>
          <w:szCs w:val="24"/>
          <w:lang w:val="el-GR" w:eastAsia="el-GR"/>
        </w:rPr>
        <w:t>πιπλέον αναγνώσματα στη διάρκεια του μαθήματος από τον Οικονομικό Τύπο της Άνοιξης 20</w:t>
      </w:r>
      <w:r>
        <w:rPr>
          <w:rFonts w:ascii="Times New Roman" w:eastAsia="Times New Roman" w:hAnsi="Times New Roman" w:cs="Calibri"/>
          <w:sz w:val="24"/>
          <w:szCs w:val="24"/>
          <w:lang w:val="el-GR" w:eastAsia="el-GR"/>
        </w:rPr>
        <w:t>21</w:t>
      </w:r>
    </w:p>
    <w:p w14:paraId="56012904" w14:textId="77777777" w:rsidR="00814C1C" w:rsidRPr="00577A79" w:rsidRDefault="00814C1C">
      <w:pPr>
        <w:rPr>
          <w:lang w:val="el-GR"/>
        </w:rPr>
      </w:pPr>
    </w:p>
    <w:sectPr w:rsidR="00814C1C" w:rsidRPr="0057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D6489"/>
    <w:multiLevelType w:val="hybridMultilevel"/>
    <w:tmpl w:val="C98A4834"/>
    <w:lvl w:ilvl="0" w:tplc="027002D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778" w:hanging="360"/>
      </w:pPr>
    </w:lvl>
    <w:lvl w:ilvl="2" w:tplc="7DAA7972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79"/>
    <w:rsid w:val="00304BD6"/>
    <w:rsid w:val="005604B9"/>
    <w:rsid w:val="00577A79"/>
    <w:rsid w:val="006F6AE0"/>
    <w:rsid w:val="00814C1C"/>
    <w:rsid w:val="00D8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7B05"/>
  <w15:chartTrackingRefBased/>
  <w15:docId w15:val="{B1909996-73D0-4564-93C7-D293740E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Gikas Hardouvelis</dc:creator>
  <cp:keywords/>
  <dc:description/>
  <cp:lastModifiedBy>Gikas Hardouvelis</cp:lastModifiedBy>
  <cp:revision>3</cp:revision>
  <dcterms:created xsi:type="dcterms:W3CDTF">2021-04-06T18:54:00Z</dcterms:created>
  <dcterms:modified xsi:type="dcterms:W3CDTF">2021-04-09T19:55:00Z</dcterms:modified>
</cp:coreProperties>
</file>